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30"/>
        <w:ind w:right="720" w:firstLine="442" w:firstLineChars="100"/>
        <w:jc w:val="center"/>
        <w:rPr>
          <w:rFonts w:asciiTheme="majorEastAsia" w:hAnsiTheme="majorEastAsia" w:eastAsiaTheme="majorEastAsia"/>
          <w:b/>
          <w:sz w:val="44"/>
          <w:szCs w:val="44"/>
        </w:rPr>
      </w:pPr>
      <w:r>
        <w:rPr>
          <w:rFonts w:hint="eastAsia" w:asciiTheme="majorEastAsia" w:hAnsiTheme="majorEastAsia" w:eastAsiaTheme="majorEastAsia"/>
          <w:b/>
          <w:sz w:val="44"/>
          <w:szCs w:val="44"/>
          <w:lang w:eastAsia="zh-CN"/>
        </w:rPr>
        <w:t>蓬松硅油</w:t>
      </w:r>
      <w:r>
        <w:rPr>
          <w:rFonts w:hint="eastAsia" w:asciiTheme="majorEastAsia" w:hAnsiTheme="majorEastAsia" w:eastAsiaTheme="majorEastAsia"/>
          <w:b/>
          <w:sz w:val="44"/>
          <w:szCs w:val="44"/>
          <w:lang w:val="en-US" w:eastAsia="zh-CN"/>
        </w:rPr>
        <w:t>HB-112</w:t>
      </w:r>
    </w:p>
    <w:p>
      <w:pPr>
        <w:spacing w:beforeLines="80" w:line="360" w:lineRule="auto"/>
        <w:ind w:left="210" w:leftChars="50" w:hanging="105" w:hangingChars="50"/>
        <w:rPr>
          <w:szCs w:val="21"/>
        </w:rPr>
      </w:pPr>
      <w:r>
        <w:rPr>
          <w:rFonts w:hint="eastAsia"/>
          <w:szCs w:val="21"/>
        </w:rPr>
        <w:t xml:space="preserve">    适用于涤纶、棉、锦、涤/棉、涤/粘胶、涤锦混纺等面料手感整理，赋予整理后的纺织品具有柔软、</w:t>
      </w:r>
      <w:r>
        <w:rPr>
          <w:rFonts w:hint="eastAsia"/>
          <w:szCs w:val="21"/>
          <w:lang w:eastAsia="zh-CN"/>
        </w:rPr>
        <w:t>蓬松</w:t>
      </w:r>
      <w:r>
        <w:rPr>
          <w:rFonts w:hint="eastAsia"/>
          <w:szCs w:val="21"/>
        </w:rPr>
        <w:t>手感风格，适用范围广。</w:t>
      </w:r>
    </w:p>
    <w:p>
      <w:pPr>
        <w:pStyle w:val="2"/>
        <w:spacing w:line="288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性能特点</w:t>
      </w:r>
      <w:bookmarkStart w:id="0" w:name="_GoBack"/>
      <w:bookmarkEnd w:id="0"/>
    </w:p>
    <w:p>
      <w:pPr>
        <w:numPr>
          <w:ilvl w:val="0"/>
          <w:numId w:val="1"/>
        </w:numPr>
        <w:spacing w:line="360" w:lineRule="auto"/>
        <w:rPr>
          <w:szCs w:val="21"/>
        </w:rPr>
      </w:pPr>
      <w:r>
        <w:rPr>
          <w:rFonts w:hint="eastAsia"/>
          <w:szCs w:val="21"/>
          <w:lang w:eastAsia="zh-CN"/>
        </w:rPr>
        <w:t>蓬松</w:t>
      </w:r>
      <w:r>
        <w:rPr>
          <w:rFonts w:hint="eastAsia"/>
          <w:szCs w:val="21"/>
        </w:rPr>
        <w:t>、柔软、弹性；</w:t>
      </w:r>
    </w:p>
    <w:p>
      <w:pPr>
        <w:numPr>
          <w:ilvl w:val="0"/>
          <w:numId w:val="1"/>
        </w:numPr>
        <w:spacing w:line="360" w:lineRule="auto"/>
        <w:rPr>
          <w:szCs w:val="21"/>
        </w:rPr>
      </w:pPr>
      <w:r>
        <w:rPr>
          <w:rFonts w:hint="eastAsia"/>
          <w:szCs w:val="21"/>
        </w:rPr>
        <w:t>低黄变；</w:t>
      </w:r>
    </w:p>
    <w:p>
      <w:pPr>
        <w:numPr>
          <w:ilvl w:val="0"/>
          <w:numId w:val="1"/>
        </w:numPr>
        <w:spacing w:line="360" w:lineRule="auto"/>
        <w:rPr>
          <w:szCs w:val="21"/>
        </w:rPr>
      </w:pPr>
      <w:r>
        <w:rPr>
          <w:rFonts w:hint="eastAsia"/>
          <w:szCs w:val="21"/>
        </w:rPr>
        <w:t>良好的使用安定性，减少或降低使用中粘辊、粘缸、漂油、破乳等问题发生的几率。</w:t>
      </w:r>
    </w:p>
    <w:p>
      <w:pPr>
        <w:pStyle w:val="2"/>
        <w:spacing w:line="288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基本性能</w:t>
      </w:r>
    </w:p>
    <w:p>
      <w:pPr>
        <w:numPr>
          <w:ilvl w:val="0"/>
          <w:numId w:val="1"/>
        </w:numPr>
        <w:spacing w:line="360" w:lineRule="auto"/>
        <w:rPr>
          <w:szCs w:val="21"/>
        </w:rPr>
      </w:pPr>
      <w:r>
        <w:rPr>
          <w:rFonts w:hint="eastAsia"/>
          <w:szCs w:val="21"/>
        </w:rPr>
        <w:t>外观：</w:t>
      </w:r>
      <w:r>
        <w:rPr>
          <w:rFonts w:hint="eastAsia"/>
          <w:szCs w:val="21"/>
          <w:lang w:eastAsia="zh-CN"/>
        </w:rPr>
        <w:t>微黄色粘稠液</w:t>
      </w:r>
    </w:p>
    <w:p>
      <w:pPr>
        <w:numPr>
          <w:ilvl w:val="0"/>
          <w:numId w:val="1"/>
        </w:numPr>
        <w:spacing w:line="360" w:lineRule="auto"/>
        <w:rPr>
          <w:szCs w:val="21"/>
        </w:rPr>
      </w:pPr>
      <w:r>
        <w:rPr>
          <w:rFonts w:hint="eastAsia"/>
          <w:szCs w:val="21"/>
        </w:rPr>
        <w:t>离子性：弱阳离子</w:t>
      </w:r>
    </w:p>
    <w:p>
      <w:pPr>
        <w:numPr>
          <w:ilvl w:val="0"/>
          <w:numId w:val="1"/>
        </w:numPr>
        <w:spacing w:line="360" w:lineRule="auto"/>
        <w:rPr>
          <w:szCs w:val="21"/>
        </w:rPr>
      </w:pPr>
      <w:r>
        <w:rPr>
          <w:rFonts w:hint="eastAsia"/>
          <w:szCs w:val="21"/>
        </w:rPr>
        <w:t>1%PH值：6.5</w:t>
      </w:r>
      <w:r>
        <w:rPr>
          <w:rFonts w:hint="eastAsia"/>
          <w:szCs w:val="21"/>
          <w:u w:val="single"/>
        </w:rPr>
        <w:t>+</w:t>
      </w:r>
      <w:r>
        <w:rPr>
          <w:rFonts w:hint="eastAsia"/>
          <w:szCs w:val="21"/>
        </w:rPr>
        <w:t>0.5</w:t>
      </w:r>
    </w:p>
    <w:p>
      <w:pPr>
        <w:numPr>
          <w:ilvl w:val="0"/>
          <w:numId w:val="1"/>
        </w:numPr>
        <w:spacing w:line="360" w:lineRule="auto"/>
        <w:rPr>
          <w:szCs w:val="21"/>
        </w:rPr>
      </w:pPr>
      <w:r>
        <w:rPr>
          <w:rFonts w:hint="eastAsia"/>
          <w:szCs w:val="21"/>
        </w:rPr>
        <w:t>溶解性：可与水以任意比例稀释</w:t>
      </w:r>
    </w:p>
    <w:p>
      <w:pPr>
        <w:pStyle w:val="2"/>
        <w:spacing w:line="288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乳化工艺  </w:t>
      </w:r>
    </w:p>
    <w:p>
      <w:pPr>
        <w:tabs>
          <w:tab w:val="left" w:pos="420"/>
        </w:tabs>
        <w:spacing w:line="360" w:lineRule="auto"/>
        <w:ind w:left="420" w:firstLine="420" w:firstLineChars="200"/>
        <w:rPr>
          <w:szCs w:val="21"/>
        </w:rPr>
      </w:pPr>
      <w:r>
        <w:rPr>
          <w:rFonts w:hint="eastAsia"/>
          <w:szCs w:val="21"/>
        </w:rPr>
        <w:t>原油：100份</w:t>
      </w:r>
    </w:p>
    <w:p>
      <w:pPr>
        <w:tabs>
          <w:tab w:val="left" w:pos="420"/>
        </w:tabs>
        <w:spacing w:line="360" w:lineRule="auto"/>
        <w:ind w:left="420" w:firstLine="420" w:firstLineChars="200"/>
        <w:rPr>
          <w:szCs w:val="21"/>
        </w:rPr>
      </w:pPr>
      <w:r>
        <w:rPr>
          <w:rFonts w:hint="eastAsia"/>
          <w:szCs w:val="21"/>
        </w:rPr>
        <w:t>80%醋酸：2-2.5份</w:t>
      </w:r>
    </w:p>
    <w:p>
      <w:pPr>
        <w:tabs>
          <w:tab w:val="left" w:pos="420"/>
        </w:tabs>
        <w:spacing w:line="360" w:lineRule="auto"/>
        <w:ind w:left="420" w:firstLine="420" w:firstLineChars="200"/>
        <w:rPr>
          <w:szCs w:val="21"/>
        </w:rPr>
      </w:pPr>
      <w:r>
        <w:rPr>
          <w:rFonts w:hint="eastAsia"/>
          <w:szCs w:val="21"/>
        </w:rPr>
        <w:t>水 ：具体水量，视手感需求和生产成本要求而定，水要缓慢加入，边加水边搅拌，搅拌均匀，乳化透明为均一稳定的乳液。</w:t>
      </w:r>
    </w:p>
    <w:p>
      <w:pPr>
        <w:pStyle w:val="2"/>
        <w:spacing w:line="288" w:lineRule="exact"/>
        <w:rPr>
          <w:rFonts w:hint="eastAsia" w:eastAsia="宋体"/>
          <w:sz w:val="24"/>
          <w:szCs w:val="24"/>
          <w:lang w:eastAsia="zh-CN"/>
        </w:rPr>
      </w:pPr>
      <w:r>
        <w:rPr>
          <w:rFonts w:hint="eastAsia"/>
          <w:sz w:val="24"/>
          <w:szCs w:val="24"/>
        </w:rPr>
        <w:t>参考工艺</w:t>
      </w:r>
      <w:r>
        <w:rPr>
          <w:rFonts w:hint="eastAsia"/>
          <w:sz w:val="24"/>
          <w:szCs w:val="24"/>
          <w:lang w:eastAsia="zh-CN"/>
        </w:rPr>
        <w:t>（建议</w:t>
      </w:r>
      <w:r>
        <w:rPr>
          <w:rFonts w:hint="eastAsia"/>
          <w:sz w:val="24"/>
          <w:szCs w:val="24"/>
          <w:lang w:val="en-US" w:eastAsia="zh-CN"/>
        </w:rPr>
        <w:t>1开4-5</w:t>
      </w:r>
      <w:r>
        <w:rPr>
          <w:rFonts w:hint="eastAsia"/>
          <w:sz w:val="24"/>
          <w:szCs w:val="24"/>
          <w:lang w:eastAsia="zh-CN"/>
        </w:rPr>
        <w:t>）</w:t>
      </w:r>
    </w:p>
    <w:p>
      <w:pPr>
        <w:numPr>
          <w:ilvl w:val="0"/>
          <w:numId w:val="1"/>
        </w:numPr>
        <w:spacing w:line="265" w:lineRule="exact"/>
        <w:rPr>
          <w:szCs w:val="21"/>
        </w:rPr>
      </w:pPr>
      <w:r>
        <w:rPr>
          <w:rFonts w:hint="eastAsia"/>
          <w:szCs w:val="21"/>
        </w:rPr>
        <w:t xml:space="preserve">浸轧  </w:t>
      </w:r>
    </w:p>
    <w:p>
      <w:pPr>
        <w:spacing w:line="265" w:lineRule="exact"/>
        <w:ind w:left="420" w:firstLine="1050" w:firstLineChars="500"/>
        <w:rPr>
          <w:szCs w:val="21"/>
        </w:rPr>
      </w:pPr>
      <w:r>
        <w:rPr>
          <w:rFonts w:hint="eastAsia"/>
          <w:szCs w:val="21"/>
          <w:lang w:eastAsia="zh-CN"/>
        </w:rPr>
        <w:t>开稀液</w:t>
      </w:r>
      <w:r>
        <w:rPr>
          <w:rFonts w:hint="eastAsia"/>
          <w:szCs w:val="21"/>
        </w:rPr>
        <w:t xml:space="preserve">    10~20g/L</w:t>
      </w:r>
    </w:p>
    <w:p>
      <w:pPr>
        <w:spacing w:line="265" w:lineRule="exact"/>
        <w:ind w:firstLine="840" w:firstLineChars="400"/>
        <w:rPr>
          <w:szCs w:val="21"/>
        </w:rPr>
      </w:pPr>
      <w:r>
        <w:rPr>
          <w:rFonts w:hint="eastAsia" w:ascii="宋体" w:hAnsi="宋体"/>
          <w:szCs w:val="21"/>
        </w:rPr>
        <w:t>一浸一轧，开幅，烘干（或定型）120℃～160℃焙烘60～120秒（根据工厂工艺而定）。</w:t>
      </w:r>
    </w:p>
    <w:p>
      <w:pPr>
        <w:numPr>
          <w:ilvl w:val="0"/>
          <w:numId w:val="1"/>
        </w:numPr>
        <w:spacing w:line="265" w:lineRule="exact"/>
        <w:rPr>
          <w:szCs w:val="21"/>
        </w:rPr>
      </w:pPr>
      <w:r>
        <w:rPr>
          <w:rFonts w:hint="eastAsia"/>
          <w:szCs w:val="21"/>
        </w:rPr>
        <w:t>浸渍</w:t>
      </w:r>
    </w:p>
    <w:p>
      <w:pPr>
        <w:ind w:firstLine="1558" w:firstLineChars="742"/>
        <w:rPr>
          <w:sz w:val="24"/>
        </w:rPr>
      </w:pPr>
      <w:r>
        <w:rPr>
          <w:rFonts w:hint="eastAsia"/>
          <w:szCs w:val="21"/>
          <w:lang w:eastAsia="zh-CN"/>
        </w:rPr>
        <w:t>开稀液</w:t>
      </w:r>
      <w:r>
        <w:rPr>
          <w:rFonts w:hint="eastAsia"/>
          <w:sz w:val="24"/>
        </w:rPr>
        <w:t xml:space="preserve">   </w:t>
      </w:r>
      <w:r>
        <w:rPr>
          <w:rFonts w:hint="eastAsia"/>
          <w:szCs w:val="21"/>
        </w:rPr>
        <w:t>1-2%（o.w.f）</w:t>
      </w:r>
    </w:p>
    <w:p>
      <w:pPr>
        <w:spacing w:line="265" w:lineRule="exact"/>
        <w:ind w:left="420"/>
        <w:rPr>
          <w:rFonts w:ascii="宋体" w:hAnsi="宋体"/>
          <w:szCs w:val="21"/>
        </w:rPr>
      </w:pPr>
      <w:r>
        <w:rPr>
          <w:rFonts w:hint="eastAsia"/>
          <w:szCs w:val="21"/>
        </w:rPr>
        <w:t xml:space="preserve">     浸渍，温度15-40℃，时间15-30分钟，脱水，烘干（根据工厂工艺而定）。</w:t>
      </w:r>
    </w:p>
    <w:p>
      <w:pPr>
        <w:pStyle w:val="2"/>
        <w:spacing w:line="288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注意事项</w:t>
      </w:r>
    </w:p>
    <w:p>
      <w:pPr>
        <w:spacing w:beforeLines="80" w:line="360" w:lineRule="auto"/>
        <w:ind w:left="315" w:leftChars="150" w:firstLine="525" w:firstLineChars="250"/>
        <w:rPr>
          <w:szCs w:val="21"/>
        </w:rPr>
      </w:pPr>
      <w:r>
        <w:rPr>
          <w:rFonts w:hint="eastAsia"/>
          <w:szCs w:val="21"/>
        </w:rPr>
        <w:t>建议与其他助剂(抗静电剂、光亮剂）同浴使用时，需先做个小试，不推荐和阴离子助剂同浴适用。浸渍法柔软工艺建议水温不超过50℃，染色布建议染色后充分水洗，既可以降温又可以去除织物表面杂质。</w:t>
      </w:r>
    </w:p>
    <w:p>
      <w:pPr>
        <w:spacing w:line="265" w:lineRule="exact"/>
      </w:pPr>
      <w:r>
        <w:rPr>
          <w:rFonts w:hint="eastAsia" w:ascii="黑体" w:hAnsi="宋体" w:eastAsia="黑体"/>
          <w:b/>
          <w:sz w:val="28"/>
          <w:szCs w:val="28"/>
        </w:rPr>
        <w:t xml:space="preserve">  </w:t>
      </w:r>
      <w:r>
        <w:rPr>
          <w:rFonts w:hint="eastAsia"/>
          <w:szCs w:val="21"/>
        </w:rPr>
        <w:t xml:space="preserve">     储存：通风避免阳光直射，保质期六个月。最佳存储温度：10-30℃。</w:t>
      </w:r>
    </w:p>
    <w:sectPr>
      <w:headerReference r:id="rId3" w:type="default"/>
      <w:footerReference r:id="rId4" w:type="default"/>
      <w:pgSz w:w="11906" w:h="16838"/>
      <w:pgMar w:top="1554" w:right="1800" w:bottom="1381" w:left="1800" w:header="851" w:footer="577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  <w:rPr>
        <w:b/>
        <w:bCs/>
        <w:sz w:val="16"/>
        <w:szCs w:val="16"/>
      </w:rPr>
    </w:pPr>
    <w:r>
      <w:pict>
        <v:line id="_x0000_s1027" o:spid="_x0000_s1027" o:spt="20" style="position:absolute;left:0pt;margin-left:-1.2pt;margin-top:-7.85pt;height:0.75pt;width:418.5pt;z-index:251663360;mso-width-relative:page;mso-height-relative:page;" stroked="t" coordsize="21600,21600" o:gfxdata="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">
          <v:path arrowok="t"/>
          <v:fill focussize="0,0"/>
          <v:stroke weight="2.5pt" color="#F79646 [3209]"/>
          <v:imagedata o:title=""/>
          <o:lock v:ext="edit"/>
        </v:line>
      </w:pict>
    </w:r>
    <w:r>
      <w:rPr>
        <w:rFonts w:hint="eastAsia"/>
        <w:b/>
        <w:bCs/>
        <w:sz w:val="16"/>
        <w:szCs w:val="16"/>
      </w:rPr>
      <w:t>浙江省桐乡市凤鸣经济开发区强业路</w:t>
    </w:r>
  </w:p>
  <w:p>
    <w:pPr>
      <w:pStyle w:val="5"/>
      <w:jc w:val="center"/>
      <w:rPr>
        <w:b/>
        <w:bCs/>
        <w:sz w:val="16"/>
        <w:szCs w:val="16"/>
      </w:rPr>
    </w:pPr>
    <w:r>
      <w:rPr>
        <w:rFonts w:hint="eastAsia"/>
        <w:b/>
        <w:bCs/>
        <w:sz w:val="16"/>
        <w:szCs w:val="16"/>
      </w:rPr>
      <w:t>电话（Tel）：+86-573-88813999 88819898  传真（Fax）：+86-573-88818611</w:t>
    </w:r>
  </w:p>
  <w:p>
    <w:pPr>
      <w:pStyle w:val="5"/>
      <w:ind w:firstLine="418" w:firstLineChars="279"/>
      <w:jc w:val="center"/>
    </w:pPr>
    <w:r>
      <w:rPr>
        <w:rFonts w:hint="eastAsia"/>
        <w:sz w:val="15"/>
        <w:szCs w:val="15"/>
      </w:rPr>
      <w:t>以上信息基于本公司实验及客户应用经验积累的基础上，鉴于实际应用过程中设备、面料、人员操作等一些列不确定因素，建议使用前进行备要的实验，确保最佳的应用环境。本说明书仅作参考，本公司不承担由此引发的任何责任。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right"/>
    </w:pPr>
    <w:r>
      <w:drawing>
        <wp:anchor distT="0" distB="0" distL="114300" distR="114300" simplePos="0" relativeHeight="251664384" behindDoc="1" locked="0" layoutInCell="1" allowOverlap="1">
          <wp:simplePos x="0" y="0"/>
          <wp:positionH relativeFrom="column">
            <wp:posOffset>0</wp:posOffset>
          </wp:positionH>
          <wp:positionV relativeFrom="paragraph">
            <wp:posOffset>15875</wp:posOffset>
          </wp:positionV>
          <wp:extent cx="1437640" cy="547370"/>
          <wp:effectExtent l="19050" t="0" r="0" b="0"/>
          <wp:wrapNone/>
          <wp:docPr id="4" name="图片 3" descr="(DVHDD5U2MUS]31TVVO$`M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图片 3" descr="(DVHDD5U2MUS]31TVVO$`M0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437640" cy="547370"/>
                  </a:xfrm>
                  <a:prstGeom prst="rect">
                    <a:avLst/>
                  </a:prstGeom>
                  <a:noFill/>
                  <a:ln w="9525">
                    <a:noFill/>
                  </a:ln>
                  <a:effectLst/>
                </pic:spPr>
              </pic:pic>
            </a:graphicData>
          </a:graphic>
        </wp:anchor>
      </w:drawing>
    </w:r>
    <w:r>
      <w:rPr>
        <w:rFonts w:hint="eastAsia"/>
      </w:rPr>
      <w:t xml:space="preserve">        </w:t>
    </w:r>
  </w:p>
  <w:p>
    <w:pPr>
      <w:pStyle w:val="6"/>
      <w:jc w:val="right"/>
    </w:pPr>
  </w:p>
  <w:p>
    <w:pPr>
      <w:pStyle w:val="6"/>
      <w:jc w:val="right"/>
    </w:pPr>
    <w:r>
      <w:rPr>
        <w:b/>
        <w:bCs/>
        <w:sz w:val="24"/>
      </w:rPr>
      <w:pict>
        <v:line id="_x0000_s1025" o:spid="_x0000_s1025" o:spt="20" style="position:absolute;left:0pt;margin-left:-1.2pt;margin-top:27.95pt;height:0.75pt;width:418.5pt;z-index:251661312;mso-width-relative:page;mso-height-relative:page;" stroked="t" coordsize="21600,21600" o:gfxdata="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">
          <v:path arrowok="t"/>
          <v:fill focussize="0,0"/>
          <v:stroke weight="2.5pt" color="#F79646 [3209]"/>
          <v:imagedata o:title=""/>
          <o:lock v:ext="edit"/>
        </v:line>
      </w:pict>
    </w:r>
    <w:r>
      <w:rPr>
        <w:rFonts w:hint="eastAsia" w:ascii="楷体" w:hAnsi="楷体" w:eastAsia="楷体" w:cs="楷体"/>
        <w:spacing w:val="20"/>
        <w:sz w:val="36"/>
        <w:szCs w:val="36"/>
      </w:rPr>
      <w:t>浙江汉邦新材料股份有限公司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 id="0" type="#_x0000_t75" style="width:12px;height:12px" o:bullet="t">
        <v:imagedata r:id="rId1" o:title=""/>
      </v:shape>
    </w:pict>
  </w:numPicBullet>
  <w:abstractNum w:abstractNumId="0">
    <w:nsid w:val="27E41980"/>
    <w:multiLevelType w:val="multilevel"/>
    <w:tmpl w:val="27E41980"/>
    <w:lvl w:ilvl="0" w:tentative="0">
      <w:start w:val="1"/>
      <w:numFmt w:val="bullet"/>
      <w:lvlText w:val=""/>
      <w:lvlPicBulletId w:val="0"/>
      <w:lvlJc w:val="left"/>
      <w:pPr>
        <w:tabs>
          <w:tab w:val="left" w:pos="420"/>
        </w:tabs>
        <w:ind w:left="420" w:firstLine="0"/>
      </w:pPr>
      <w:rPr>
        <w:rFonts w:hint="default" w:ascii="Symbol" w:hAnsi="Symbol"/>
      </w:rPr>
    </w:lvl>
    <w:lvl w:ilvl="1" w:tentative="0">
      <w:start w:val="1"/>
      <w:numFmt w:val="bullet"/>
      <w:lvlText w:val=""/>
      <w:lvlJc w:val="left"/>
      <w:pPr>
        <w:tabs>
          <w:tab w:val="left" w:pos="840"/>
        </w:tabs>
        <w:ind w:left="840" w:firstLine="0"/>
      </w:pPr>
      <w:rPr>
        <w:rFonts w:hint="default" w:ascii="Symbol" w:hAnsi="Symbol"/>
      </w:rPr>
    </w:lvl>
    <w:lvl w:ilvl="2" w:tentative="0">
      <w:start w:val="1"/>
      <w:numFmt w:val="bullet"/>
      <w:lvlText w:val=""/>
      <w:lvlJc w:val="left"/>
      <w:pPr>
        <w:tabs>
          <w:tab w:val="left" w:pos="1260"/>
        </w:tabs>
        <w:ind w:left="1260" w:firstLine="0"/>
      </w:pPr>
      <w:rPr>
        <w:rFonts w:hint="default" w:ascii="Symbol" w:hAnsi="Symbol"/>
      </w:rPr>
    </w:lvl>
    <w:lvl w:ilvl="3" w:tentative="0">
      <w:start w:val="1"/>
      <w:numFmt w:val="bullet"/>
      <w:lvlText w:val=""/>
      <w:lvlJc w:val="left"/>
      <w:pPr>
        <w:tabs>
          <w:tab w:val="left" w:pos="1680"/>
        </w:tabs>
        <w:ind w:left="1680" w:firstLine="0"/>
      </w:pPr>
      <w:rPr>
        <w:rFonts w:hint="default" w:ascii="Symbol" w:hAnsi="Symbol"/>
      </w:rPr>
    </w:lvl>
    <w:lvl w:ilvl="4" w:tentative="0">
      <w:start w:val="1"/>
      <w:numFmt w:val="bullet"/>
      <w:lvlText w:val=""/>
      <w:lvlJc w:val="left"/>
      <w:pPr>
        <w:tabs>
          <w:tab w:val="left" w:pos="2100"/>
        </w:tabs>
        <w:ind w:left="2100" w:firstLine="0"/>
      </w:pPr>
      <w:rPr>
        <w:rFonts w:hint="default" w:ascii="Symbol" w:hAnsi="Symbol"/>
      </w:rPr>
    </w:lvl>
    <w:lvl w:ilvl="5" w:tentative="0">
      <w:start w:val="1"/>
      <w:numFmt w:val="bullet"/>
      <w:lvlText w:val=""/>
      <w:lvlJc w:val="left"/>
      <w:pPr>
        <w:tabs>
          <w:tab w:val="left" w:pos="2520"/>
        </w:tabs>
        <w:ind w:left="2520" w:firstLine="0"/>
      </w:pPr>
      <w:rPr>
        <w:rFonts w:hint="default" w:ascii="Symbol" w:hAnsi="Symbol"/>
      </w:rPr>
    </w:lvl>
    <w:lvl w:ilvl="6" w:tentative="0">
      <w:start w:val="1"/>
      <w:numFmt w:val="bullet"/>
      <w:lvlText w:val=""/>
      <w:lvlJc w:val="left"/>
      <w:pPr>
        <w:tabs>
          <w:tab w:val="left" w:pos="2940"/>
        </w:tabs>
        <w:ind w:left="2940" w:firstLine="0"/>
      </w:pPr>
      <w:rPr>
        <w:rFonts w:hint="default" w:ascii="Symbol" w:hAnsi="Symbol"/>
      </w:rPr>
    </w:lvl>
    <w:lvl w:ilvl="7" w:tentative="0">
      <w:start w:val="1"/>
      <w:numFmt w:val="bullet"/>
      <w:lvlText w:val=""/>
      <w:lvlJc w:val="left"/>
      <w:pPr>
        <w:tabs>
          <w:tab w:val="left" w:pos="3360"/>
        </w:tabs>
        <w:ind w:left="3360" w:firstLine="0"/>
      </w:pPr>
      <w:rPr>
        <w:rFonts w:hint="default" w:ascii="Symbol" w:hAnsi="Symbol"/>
      </w:rPr>
    </w:lvl>
    <w:lvl w:ilvl="8" w:tentative="0">
      <w:start w:val="1"/>
      <w:numFmt w:val="bullet"/>
      <w:lvlText w:val=""/>
      <w:lvlJc w:val="left"/>
      <w:pPr>
        <w:tabs>
          <w:tab w:val="left" w:pos="3780"/>
        </w:tabs>
        <w:ind w:left="3780" w:firstLine="0"/>
      </w:pPr>
      <w:rPr>
        <w:rFonts w:hint="default" w:ascii="Symbol" w:hAnsi="Symbol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41737209"/>
    <w:rsid w:val="00041F90"/>
    <w:rsid w:val="001555D8"/>
    <w:rsid w:val="001B5ECE"/>
    <w:rsid w:val="002C3B5F"/>
    <w:rsid w:val="002F4CC1"/>
    <w:rsid w:val="003053E7"/>
    <w:rsid w:val="00354085"/>
    <w:rsid w:val="004973E5"/>
    <w:rsid w:val="00514341"/>
    <w:rsid w:val="00561E90"/>
    <w:rsid w:val="00572C2D"/>
    <w:rsid w:val="0057702F"/>
    <w:rsid w:val="005D09AE"/>
    <w:rsid w:val="005E6422"/>
    <w:rsid w:val="00652693"/>
    <w:rsid w:val="0065327C"/>
    <w:rsid w:val="00660F56"/>
    <w:rsid w:val="006E52C8"/>
    <w:rsid w:val="00773C86"/>
    <w:rsid w:val="007C7C7D"/>
    <w:rsid w:val="007E3859"/>
    <w:rsid w:val="00855D80"/>
    <w:rsid w:val="008A73E6"/>
    <w:rsid w:val="008E2161"/>
    <w:rsid w:val="009303F2"/>
    <w:rsid w:val="009D02C6"/>
    <w:rsid w:val="00AA384D"/>
    <w:rsid w:val="00AB72E7"/>
    <w:rsid w:val="00AC7B4C"/>
    <w:rsid w:val="00B47E4B"/>
    <w:rsid w:val="00BB041E"/>
    <w:rsid w:val="00BB44D9"/>
    <w:rsid w:val="00C04880"/>
    <w:rsid w:val="00C4402B"/>
    <w:rsid w:val="00CB694C"/>
    <w:rsid w:val="00D1488F"/>
    <w:rsid w:val="00D62B5E"/>
    <w:rsid w:val="00D63895"/>
    <w:rsid w:val="00DA6DB6"/>
    <w:rsid w:val="00E36947"/>
    <w:rsid w:val="00E56F78"/>
    <w:rsid w:val="00E76246"/>
    <w:rsid w:val="00F013C9"/>
    <w:rsid w:val="00F167EF"/>
    <w:rsid w:val="00F22693"/>
    <w:rsid w:val="00F51286"/>
    <w:rsid w:val="00F9384D"/>
    <w:rsid w:val="2FE96E82"/>
    <w:rsid w:val="32F010D3"/>
    <w:rsid w:val="35811D91"/>
    <w:rsid w:val="40B95B81"/>
    <w:rsid w:val="41737209"/>
    <w:rsid w:val="4CA35719"/>
    <w:rsid w:val="4CE10F5C"/>
    <w:rsid w:val="4FFF78F4"/>
    <w:rsid w:val="51E7015C"/>
    <w:rsid w:val="576E3242"/>
    <w:rsid w:val="60D6010F"/>
    <w:rsid w:val="659F05DC"/>
    <w:rsid w:val="67580B56"/>
    <w:rsid w:val="776720F5"/>
    <w:rsid w:val="7B694924"/>
    <w:rsid w:val="7F012C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12"/>
    <w:qFormat/>
    <w:uiPriority w:val="0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7">
    <w:name w:val="Default Paragraph Font"/>
    <w:semiHidden/>
    <w:unhideWhenUsed/>
    <w:uiPriority w:val="1"/>
  </w:style>
  <w:style w:type="table" w:default="1" w:styleId="9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qFormat/>
    <w:uiPriority w:val="0"/>
    <w:pPr>
      <w:ind w:firstLine="420"/>
    </w:pPr>
    <w:rPr>
      <w:rFonts w:ascii="Times New Roman" w:hAnsi="Times New Roman"/>
    </w:rPr>
  </w:style>
  <w:style w:type="paragraph" w:styleId="4">
    <w:name w:val="Balloon Text"/>
    <w:basedOn w:val="1"/>
    <w:link w:val="11"/>
    <w:qFormat/>
    <w:uiPriority w:val="0"/>
    <w:rPr>
      <w:sz w:val="18"/>
      <w:szCs w:val="1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1">
    <w:name w:val="批注框文本 Char"/>
    <w:basedOn w:val="7"/>
    <w:link w:val="4"/>
    <w:qFormat/>
    <w:uiPriority w:val="0"/>
    <w:rPr>
      <w:kern w:val="2"/>
      <w:sz w:val="18"/>
      <w:szCs w:val="18"/>
    </w:rPr>
  </w:style>
  <w:style w:type="character" w:customStyle="1" w:styleId="12">
    <w:name w:val="标题 2 Char"/>
    <w:basedOn w:val="7"/>
    <w:link w:val="2"/>
    <w:qFormat/>
    <w:uiPriority w:val="0"/>
    <w:rPr>
      <w:rFonts w:ascii="Cambria" w:hAnsi="Cambria"/>
      <w:b/>
      <w:bCs/>
      <w:kern w:val="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office6\templates\&#35828;&#26126;&#20070;&#27169;&#26495;A.wp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5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说明书模板A.wpt</Template>
  <Pages>1</Pages>
  <Words>77</Words>
  <Characters>439</Characters>
  <Lines>3</Lines>
  <Paragraphs>1</Paragraphs>
  <TotalTime>9</TotalTime>
  <ScaleCrop>false</ScaleCrop>
  <LinksUpToDate>false</LinksUpToDate>
  <CharactersWithSpaces>515</CharactersWithSpaces>
  <Application>WPS Office_10.1.0.7566_F1E327BC-269C-435d-A152-05C5408002CA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2016-12-13T01:22:00Z</dcterms:created>
  <dc:creator>Administrator</dc:creator>
  <cp:lastModifiedBy>Administrator</cp:lastModifiedBy>
  <cp:lastPrinted>2020-03-31T05:30:00Z</cp:lastPrinted>
  <dcterms:modified xsi:type="dcterms:W3CDTF">2020-05-05T05:58:20Z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2052-10.1.0.7566</vt:lpwstr>
  </property>
</Properties>
</file>